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F7" w:rsidRPr="006749F7" w:rsidRDefault="00D12E04" w:rsidP="006749F7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IN-SOLUTION SAMPLE PREPA</w:t>
      </w:r>
      <w:bookmarkStart w:id="0" w:name="_GoBack"/>
      <w:bookmarkEnd w:id="0"/>
      <w:r w:rsidR="006749F7" w:rsidRPr="006749F7">
        <w:rPr>
          <w:rFonts w:ascii="Arial" w:hAnsi="Arial" w:cs="Arial"/>
          <w:b/>
          <w:color w:val="FF0000"/>
          <w:sz w:val="24"/>
          <w:szCs w:val="24"/>
        </w:rPr>
        <w:t xml:space="preserve">RATION  </w:t>
      </w:r>
    </w:p>
    <w:p w:rsidR="006749F7" w:rsidRPr="00440969" w:rsidRDefault="006749F7" w:rsidP="006749F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bookmarkStart w:id="1" w:name="_Hlk96530723"/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The quality of sample extraction and preparation significantly impact MS results. For in-solution samples, strictly follow the following guidelines:</w:t>
      </w:r>
    </w:p>
    <w:p w:rsidR="006749F7" w:rsidRPr="00440969" w:rsidRDefault="006749F7" w:rsidP="006749F7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DO NOT wash any</w:t>
      </w:r>
      <w:r w:rsidRPr="00DB2B2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flasks, tubes, or glass plates 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(for sample preparation) with soap (or any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polymeric 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detergent). Always, rinse your glassware with hot water and then an organic solvent like 70% ethanol or methanol.</w:t>
      </w:r>
    </w:p>
    <w:p w:rsidR="006749F7" w:rsidRPr="00440969" w:rsidRDefault="006749F7" w:rsidP="006749F7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Freshly prepare all the buffers for MS analysis.</w:t>
      </w:r>
    </w:p>
    <w:p w:rsidR="006749F7" w:rsidRPr="00440969" w:rsidRDefault="006749F7" w:rsidP="006749F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CA"/>
        </w:rPr>
        <w:t>CRITICAL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: Mass spectrometry is highly sensitive to various contaminants, such as PEG (polyethylene glycol), keratin and various salts. Therefore, it is recommended to use powder free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nitryl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gloves and work in a dust- free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environment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</w:t>
      </w:r>
    </w:p>
    <w:p w:rsidR="006749F7" w:rsidRPr="00440969" w:rsidRDefault="006749F7" w:rsidP="006749F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CA"/>
        </w:rPr>
        <w:t>CRITICAL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: The preferred MS compatible protein extraction buffer, ideal for optimum trypsin activity, is </w:t>
      </w:r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50 </w:t>
      </w:r>
      <w:bookmarkStart w:id="2" w:name="_Hlk98929256"/>
      <w:proofErr w:type="spellStart"/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mM</w:t>
      </w:r>
      <w:proofErr w:type="spellEnd"/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 </w:t>
      </w:r>
      <w:bookmarkEnd w:id="2"/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ammonium bicarbonate buffer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If you had used any other buffer for washing or re-suspending the cell pellets (or tissues), </w:t>
      </w:r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desalting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(or dialysis) and </w:t>
      </w:r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buffer exchange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(using </w:t>
      </w:r>
      <w:bookmarkStart w:id="3" w:name="_Hlk100049339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50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mM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ammonium bicarbonate</w:t>
      </w:r>
      <w:bookmarkEnd w:id="3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) should be performed. It can be accomplished using a centrifugal filter with an appropriate molecular-weight-cut-off (MWCO) membrane such as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Amicon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Ultra 0.5 mL centrifugal filters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having 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3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kDa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MWCO (P/N : UFC500324,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Merk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Millipore). </w:t>
      </w:r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Please supply the protein sample in 50 </w:t>
      </w:r>
      <w:proofErr w:type="spellStart"/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mM</w:t>
      </w:r>
      <w:proofErr w:type="spellEnd"/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 ammonium bicarbonate buffer. </w:t>
      </w:r>
    </w:p>
    <w:p w:rsidR="006749F7" w:rsidRPr="00440969" w:rsidRDefault="006749F7" w:rsidP="006749F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CA"/>
        </w:rPr>
        <w:t>CRITICAL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: The commonly used detergents are NOT compatible with MS. These include NP-40, Triton, CHAPS, SDS (sodium dodecyl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sulfate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) and LDS (Lithium dodecyl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sulfate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),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Octyl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glucoside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and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octyl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thioglucoside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sodium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deoxycholate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lauryl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maltoside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Brij-35, etc. If you have to use detergent for the cell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lysis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, use only MS-compatible detergents. A few MS-compatible detergents are listed below.</w:t>
      </w:r>
    </w:p>
    <w:p w:rsidR="006749F7" w:rsidRDefault="006749F7" w:rsidP="006749F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>RapiGest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 xml:space="preserve"> SF from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 xml:space="preserve"> </w:t>
      </w:r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>Waters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6749F7" w:rsidRPr="00634341" w:rsidRDefault="006749F7" w:rsidP="006749F7">
      <w:pPr>
        <w:pStyle w:val="ListParagraph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(</w:t>
      </w:r>
      <w:hyperlink r:id="rId6" w:history="1">
        <w:r w:rsidRPr="00440969">
          <w:rPr>
            <w:rFonts w:ascii="Arial" w:eastAsia="Times New Roman" w:hAnsi="Arial" w:cs="Arial"/>
            <w:color w:val="222222"/>
            <w:sz w:val="24"/>
            <w:szCs w:val="24"/>
            <w:lang w:eastAsia="en-CA"/>
          </w:rPr>
          <w:t>https://www.waters.com/nextgen/in/en/shop/standards--reagents/186001861-rapigest-sf-1-mg--5-pk.html</w:t>
        </w:r>
      </w:hyperlink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)</w:t>
      </w:r>
    </w:p>
    <w:p w:rsidR="006749F7" w:rsidRDefault="006749F7" w:rsidP="006749F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>PPS Silent Surfactant from Agilent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6749F7" w:rsidRPr="00440969" w:rsidRDefault="006749F7" w:rsidP="006749F7">
      <w:pPr>
        <w:pStyle w:val="ListParagraph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(https://www.chem-agilent.com/pdf/strata/400500.pdf)</w:t>
      </w:r>
    </w:p>
    <w:p w:rsidR="006749F7" w:rsidRDefault="006749F7" w:rsidP="006749F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>Detergent-free buffer from Sigma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6749F7" w:rsidRPr="00440969" w:rsidRDefault="006749F7" w:rsidP="006749F7">
      <w:pPr>
        <w:pStyle w:val="ListParagraph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lastRenderedPageBreak/>
        <w:t>(</w:t>
      </w:r>
      <w:hyperlink r:id="rId7" w:history="1">
        <w:r w:rsidRPr="00440969">
          <w:rPr>
            <w:rFonts w:ascii="Arial" w:eastAsia="Times New Roman" w:hAnsi="Arial" w:cs="Arial"/>
            <w:color w:val="222222"/>
            <w:sz w:val="24"/>
            <w:szCs w:val="24"/>
            <w:lang w:eastAsia="en-CA"/>
          </w:rPr>
          <w:t>https://www.sigmaaldrich.com/IN/en/technical-documents/protocol/protein-biology/protein-lysis-and-extraction/extraction-from-tissue</w:t>
        </w:r>
      </w:hyperlink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)</w:t>
      </w:r>
    </w:p>
    <w:bookmarkEnd w:id="1"/>
    <w:p w:rsidR="006749F7" w:rsidRPr="00440969" w:rsidRDefault="006749F7" w:rsidP="006749F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After desalting and buffer exchange, do protein quantification. The sample (protein) has to have a concentration of </w:t>
      </w:r>
      <w:bookmarkStart w:id="4" w:name="_Hlk94517683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mg/mL </w:t>
      </w:r>
      <w:bookmarkEnd w:id="4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and 100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microlitres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is required (100 micrograms in 100 </w:t>
      </w:r>
      <w:proofErr w:type="spellStart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microlitres</w:t>
      </w:r>
      <w:proofErr w:type="spellEnd"/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). </w:t>
      </w:r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>If the concentration of your sample is less than 1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 xml:space="preserve"> </w:t>
      </w:r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 xml:space="preserve">mg/mL, let us know in advance. </w:t>
      </w:r>
    </w:p>
    <w:p w:rsidR="006749F7" w:rsidRPr="008867AD" w:rsidRDefault="006749F7" w:rsidP="006749F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8867A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If you have samples to be compared (for relative protein quantification), all samples should be in uniform concentration and volume.</w:t>
      </w:r>
    </w:p>
    <w:p w:rsidR="006749F7" w:rsidRPr="00440969" w:rsidRDefault="006749F7" w:rsidP="006749F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We suggest sharing the protein isolation protocol (which you intend to follow) with the facility staff and getting their approval before proceeding with the sample preparation.</w:t>
      </w:r>
    </w:p>
    <w:p w:rsidR="006749F7" w:rsidRPr="00440969" w:rsidRDefault="006749F7" w:rsidP="006749F7">
      <w:pPr>
        <w:pStyle w:val="ListParagraph"/>
        <w:numPr>
          <w:ilvl w:val="0"/>
          <w:numId w:val="1"/>
        </w:num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440969"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  <w:t>Shipment</w:t>
      </w:r>
      <w:r w:rsidRPr="0044096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: The samples need to be shipped in a frozen condition in dry ice or brought to RGCB in ice by hand.</w:t>
      </w:r>
    </w:p>
    <w:p w:rsidR="00C21A8C" w:rsidRDefault="00C21A8C"/>
    <w:sectPr w:rsidR="00C21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D9E"/>
    <w:multiLevelType w:val="hybridMultilevel"/>
    <w:tmpl w:val="B622BDB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4A4"/>
    <w:multiLevelType w:val="hybridMultilevel"/>
    <w:tmpl w:val="732243C8"/>
    <w:lvl w:ilvl="0" w:tplc="05D05E08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0D720C"/>
    <w:multiLevelType w:val="hybridMultilevel"/>
    <w:tmpl w:val="0D62AF9A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65750D"/>
    <w:multiLevelType w:val="hybridMultilevel"/>
    <w:tmpl w:val="A1E8CE18"/>
    <w:lvl w:ilvl="0" w:tplc="05D05E08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F7"/>
    <w:rsid w:val="00036AA0"/>
    <w:rsid w:val="006749F7"/>
    <w:rsid w:val="00C21A8C"/>
    <w:rsid w:val="00D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igmaaldrich.com/IN/en/technical-documents/protocol/protein-biology/protein-lysis-and-extraction/extraction-from-tiss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ters.com/nextgen/in/en/shop/standards--reagents/186001861-rapigest-sf-1-mg--5-p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Lakshmi</cp:lastModifiedBy>
  <cp:revision>3</cp:revision>
  <dcterms:created xsi:type="dcterms:W3CDTF">2022-04-13T11:43:00Z</dcterms:created>
  <dcterms:modified xsi:type="dcterms:W3CDTF">2022-06-08T09:24:00Z</dcterms:modified>
</cp:coreProperties>
</file>